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846"/>
        <w:gridCol w:w="6952"/>
        <w:gridCol w:w="817"/>
      </w:tblGrid>
      <w:tr w:rsidR="0005660E" w:rsidRPr="0005660E" w:rsidTr="0017248C">
        <w:trPr>
          <w:trHeight w:val="1276"/>
        </w:trPr>
        <w:tc>
          <w:tcPr>
            <w:tcW w:w="704" w:type="dxa"/>
          </w:tcPr>
          <w:p w:rsidR="0005660E" w:rsidRPr="0005660E" w:rsidRDefault="00FF6AB5" w:rsidP="004A56D2">
            <w:pPr>
              <w:jc w:val="right"/>
              <w:rPr>
                <w:rFonts w:eastAsia="ＭＳ 明朝"/>
                <w:lang w:eastAsia="ja-JP"/>
              </w:rPr>
            </w:pPr>
            <w:r w:rsidRPr="0005660E">
              <w:rPr>
                <w:rFonts w:eastAsia="ＭＳ 明朝"/>
                <w:noProof/>
                <w:lang w:eastAsia="ja-JP"/>
              </w:rPr>
              <w:drawing>
                <wp:inline distT="0" distB="0" distL="0" distR="0">
                  <wp:extent cx="400050" cy="781050"/>
                  <wp:effectExtent l="0" t="0" r="0" b="0"/>
                  <wp:docPr id="1" name="図 2" descr="r3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r3b-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781050"/>
                          </a:xfrm>
                          <a:prstGeom prst="rect">
                            <a:avLst/>
                          </a:prstGeom>
                          <a:noFill/>
                          <a:ln>
                            <a:noFill/>
                          </a:ln>
                        </pic:spPr>
                      </pic:pic>
                    </a:graphicData>
                  </a:graphic>
                </wp:inline>
              </w:drawing>
            </w:r>
          </w:p>
        </w:tc>
        <w:tc>
          <w:tcPr>
            <w:tcW w:w="7093" w:type="dxa"/>
          </w:tcPr>
          <w:p w:rsidR="004A56D2" w:rsidRDefault="004A56D2" w:rsidP="004A56D2">
            <w:pPr>
              <w:jc w:val="center"/>
              <w:rPr>
                <w:b/>
                <w:position w:val="6"/>
                <w:sz w:val="30"/>
              </w:rPr>
            </w:pPr>
            <w:r>
              <w:rPr>
                <w:b/>
                <w:position w:val="6"/>
                <w:sz w:val="30"/>
              </w:rPr>
              <w:t xml:space="preserve">INTERNATIONAL </w:t>
            </w:r>
            <w:r>
              <w:rPr>
                <w:rFonts w:hint="eastAsia"/>
                <w:b/>
                <w:position w:val="6"/>
                <w:sz w:val="30"/>
              </w:rPr>
              <w:t>AMATEUR RADIO</w:t>
            </w:r>
            <w:r>
              <w:rPr>
                <w:b/>
                <w:position w:val="6"/>
                <w:sz w:val="30"/>
              </w:rPr>
              <w:t xml:space="preserve"> UNION</w:t>
            </w:r>
          </w:p>
          <w:p w:rsidR="004A56D2" w:rsidRDefault="004A56D2" w:rsidP="004A56D2">
            <w:pPr>
              <w:jc w:val="center"/>
              <w:rPr>
                <w:b/>
                <w:smallCaps/>
                <w:sz w:val="30"/>
              </w:rPr>
            </w:pPr>
            <w:r>
              <w:rPr>
                <w:rFonts w:hint="eastAsia"/>
                <w:b/>
                <w:position w:val="6"/>
                <w:sz w:val="30"/>
              </w:rPr>
              <w:t>REGION 3</w:t>
            </w:r>
          </w:p>
          <w:p w:rsidR="0005660E" w:rsidRPr="009C09CD" w:rsidRDefault="009C09CD" w:rsidP="00BD7620">
            <w:pPr>
              <w:jc w:val="center"/>
              <w:rPr>
                <w:rFonts w:eastAsia="ＭＳ 明朝"/>
                <w:b/>
                <w:sz w:val="30"/>
                <w:szCs w:val="30"/>
                <w:lang w:eastAsia="ja-JP"/>
              </w:rPr>
            </w:pPr>
            <w:r w:rsidRPr="009C09CD">
              <w:rPr>
                <w:rFonts w:eastAsia="ＭＳ 明朝"/>
                <w:b/>
                <w:sz w:val="30"/>
                <w:szCs w:val="30"/>
                <w:lang w:eastAsia="ja-JP"/>
              </w:rPr>
              <w:t>SIXTEENTH  REGIONAL  CONFERENCE</w:t>
            </w:r>
          </w:p>
        </w:tc>
        <w:tc>
          <w:tcPr>
            <w:tcW w:w="818" w:type="dxa"/>
          </w:tcPr>
          <w:p w:rsidR="0005660E" w:rsidRPr="0005660E" w:rsidRDefault="00FF6AB5" w:rsidP="004A56D2">
            <w:pPr>
              <w:jc w:val="right"/>
              <w:rPr>
                <w:rFonts w:eastAsia="ＭＳ 明朝"/>
                <w:lang w:eastAsia="ja-JP"/>
              </w:rPr>
            </w:pPr>
            <w:r>
              <w:rPr>
                <w:rFonts w:eastAsia="ＭＳ 明朝" w:hint="eastAsia"/>
                <w:noProof/>
                <w:lang w:eastAsia="ja-JP"/>
              </w:rPr>
              <w:drawing>
                <wp:inline distT="0" distB="0" distL="0" distR="0">
                  <wp:extent cx="352425" cy="781050"/>
                  <wp:effectExtent l="0" t="0" r="9525" b="0"/>
                  <wp:docPr id="5" name="図 5" descr="C:\Users\intl\Desktop\ORAR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tl\Desktop\ORARI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781050"/>
                          </a:xfrm>
                          <a:prstGeom prst="rect">
                            <a:avLst/>
                          </a:prstGeom>
                          <a:noFill/>
                          <a:ln>
                            <a:noFill/>
                          </a:ln>
                        </pic:spPr>
                      </pic:pic>
                    </a:graphicData>
                  </a:graphic>
                </wp:inline>
              </w:drawing>
            </w:r>
          </w:p>
        </w:tc>
      </w:tr>
    </w:tbl>
    <w:p w:rsidR="004A56D2" w:rsidRDefault="009C09CD" w:rsidP="004A56D2">
      <w:pPr>
        <w:pStyle w:val="Head"/>
        <w:pBdr>
          <w:bottom w:val="single" w:sz="12" w:space="1" w:color="auto"/>
        </w:pBdr>
        <w:tabs>
          <w:tab w:val="clear" w:pos="6663"/>
          <w:tab w:val="right" w:pos="8647"/>
        </w:tabs>
        <w:ind w:leftChars="50" w:left="120" w:rightChars="-70" w:right="-168"/>
        <w:rPr>
          <w:sz w:val="21"/>
          <w:lang w:val="en-US"/>
        </w:rPr>
      </w:pPr>
      <w:r>
        <w:rPr>
          <w:sz w:val="21"/>
          <w:lang w:val="en-US"/>
        </w:rPr>
        <w:t>12</w:t>
      </w:r>
      <w:r w:rsidR="004A56D2">
        <w:rPr>
          <w:rFonts w:hint="eastAsia"/>
          <w:sz w:val="21"/>
          <w:lang w:val="en-US"/>
        </w:rPr>
        <w:t xml:space="preserve"> </w:t>
      </w:r>
      <w:r w:rsidR="004A56D2">
        <w:rPr>
          <w:sz w:val="21"/>
          <w:lang w:val="en-US"/>
        </w:rPr>
        <w:t>–</w:t>
      </w:r>
      <w:r w:rsidR="004A56D2">
        <w:rPr>
          <w:rFonts w:hint="eastAsia"/>
          <w:sz w:val="21"/>
          <w:lang w:val="en-US"/>
        </w:rPr>
        <w:t xml:space="preserve"> </w:t>
      </w:r>
      <w:r>
        <w:rPr>
          <w:sz w:val="21"/>
          <w:lang w:val="en-US"/>
        </w:rPr>
        <w:t>16</w:t>
      </w:r>
      <w:r w:rsidR="004A56D2">
        <w:rPr>
          <w:rFonts w:hint="eastAsia"/>
          <w:sz w:val="21"/>
          <w:lang w:val="en-US"/>
        </w:rPr>
        <w:t xml:space="preserve"> </w:t>
      </w:r>
      <w:r>
        <w:rPr>
          <w:sz w:val="21"/>
          <w:lang w:val="en-US"/>
        </w:rPr>
        <w:t>Octo</w:t>
      </w:r>
      <w:r w:rsidR="004A56D2">
        <w:rPr>
          <w:rFonts w:hint="eastAsia"/>
          <w:sz w:val="21"/>
          <w:lang w:val="en-US"/>
        </w:rPr>
        <w:t>ber 20</w:t>
      </w:r>
      <w:r w:rsidR="002F418E">
        <w:rPr>
          <w:rFonts w:hint="eastAsia"/>
          <w:sz w:val="21"/>
          <w:lang w:val="en-US"/>
        </w:rPr>
        <w:t>1</w:t>
      </w:r>
      <w:r>
        <w:rPr>
          <w:sz w:val="21"/>
          <w:lang w:val="en-US"/>
        </w:rPr>
        <w:t>5</w:t>
      </w:r>
      <w:r w:rsidR="004A56D2">
        <w:rPr>
          <w:rFonts w:hint="eastAsia"/>
          <w:sz w:val="21"/>
          <w:lang w:val="en-US"/>
        </w:rPr>
        <w:tab/>
      </w:r>
      <w:r>
        <w:rPr>
          <w:sz w:val="21"/>
          <w:lang w:val="en-US"/>
        </w:rPr>
        <w:t>Bali, Indonesia</w:t>
      </w:r>
    </w:p>
    <w:p w:rsidR="004A56D2" w:rsidRDefault="004A56D2" w:rsidP="004A56D2">
      <w:pPr>
        <w:pStyle w:val="Data"/>
        <w:rPr>
          <w:sz w:val="20"/>
          <w:lang w:val="en-US"/>
        </w:rPr>
      </w:pPr>
    </w:p>
    <w:p w:rsidR="004A56D2" w:rsidRDefault="004A56D2" w:rsidP="004A56D2">
      <w:pPr>
        <w:pStyle w:val="Head"/>
        <w:tabs>
          <w:tab w:val="clear" w:pos="6663"/>
        </w:tabs>
        <w:wordWrap w:val="0"/>
        <w:ind w:rightChars="-70" w:right="-168"/>
        <w:jc w:val="right"/>
        <w:rPr>
          <w:lang w:val="en-US"/>
        </w:rPr>
      </w:pPr>
      <w:r>
        <w:rPr>
          <w:b/>
          <w:lang w:val="en-US"/>
        </w:rPr>
        <w:t xml:space="preserve">Document </w:t>
      </w:r>
      <w:r>
        <w:rPr>
          <w:rFonts w:hint="eastAsia"/>
          <w:b/>
          <w:lang w:val="en-US"/>
        </w:rPr>
        <w:t xml:space="preserve">No. </w:t>
      </w:r>
      <w:r w:rsidR="002F418E">
        <w:rPr>
          <w:rFonts w:hint="eastAsia"/>
          <w:b/>
          <w:lang w:val="en-US"/>
        </w:rPr>
        <w:t>1</w:t>
      </w:r>
      <w:r w:rsidR="009C09CD">
        <w:rPr>
          <w:b/>
          <w:lang w:val="en-US"/>
        </w:rPr>
        <w:t>5</w:t>
      </w:r>
      <w:r>
        <w:rPr>
          <w:rFonts w:hint="eastAsia"/>
          <w:b/>
          <w:lang w:val="en-US"/>
        </w:rPr>
        <w:t>/XV</w:t>
      </w:r>
      <w:r w:rsidR="009C09CD">
        <w:rPr>
          <w:b/>
          <w:lang w:val="en-US"/>
        </w:rPr>
        <w:t>I</w:t>
      </w:r>
      <w:r>
        <w:rPr>
          <w:rFonts w:hint="eastAsia"/>
          <w:b/>
          <w:lang w:val="en-US"/>
        </w:rPr>
        <w:t>/0</w:t>
      </w:r>
      <w:r w:rsidR="00836A50">
        <w:rPr>
          <w:b/>
          <w:lang w:val="en-US"/>
        </w:rPr>
        <w:t>42</w:t>
      </w:r>
    </w:p>
    <w:p w:rsidR="004A56D2" w:rsidRDefault="004A56D2" w:rsidP="004A56D2">
      <w:pPr>
        <w:pStyle w:val="Head"/>
        <w:tabs>
          <w:tab w:val="clear" w:pos="6663"/>
        </w:tabs>
        <w:wordWrap w:val="0"/>
        <w:ind w:rightChars="-70" w:right="-168"/>
        <w:jc w:val="right"/>
        <w:rPr>
          <w:lang w:val="en-US"/>
        </w:rPr>
      </w:pPr>
      <w:r>
        <w:rPr>
          <w:rFonts w:hint="eastAsia"/>
          <w:lang w:val="en-US"/>
        </w:rPr>
        <w:t xml:space="preserve">Agenda Item: </w:t>
      </w:r>
      <w:r w:rsidR="00836A50">
        <w:rPr>
          <w:lang w:val="en-US"/>
        </w:rPr>
        <w:t>11</w:t>
      </w:r>
      <w:r w:rsidR="004D2E86">
        <w:rPr>
          <w:rFonts w:hint="eastAsia"/>
          <w:lang w:val="en-US"/>
        </w:rPr>
        <w:t>.</w:t>
      </w:r>
      <w:r w:rsidR="00836A50">
        <w:rPr>
          <w:lang w:val="en-US"/>
        </w:rPr>
        <w:t>11</w:t>
      </w:r>
    </w:p>
    <w:p w:rsidR="008F5885" w:rsidRDefault="008F5885" w:rsidP="008F5885">
      <w:pPr>
        <w:rPr>
          <w:b/>
        </w:rPr>
      </w:pPr>
      <w:bookmarkStart w:id="0" w:name="recibido"/>
      <w:bookmarkEnd w:id="0"/>
    </w:p>
    <w:p w:rsidR="008F5885" w:rsidRPr="0058562C" w:rsidRDefault="008F5885" w:rsidP="0058562C">
      <w:pPr>
        <w:spacing w:after="120" w:line="264" w:lineRule="auto"/>
        <w:ind w:left="1418" w:right="1419"/>
        <w:jc w:val="center"/>
        <w:rPr>
          <w:rFonts w:ascii="Arial" w:hAnsi="Arial" w:cs="Arial"/>
          <w:b/>
        </w:rPr>
      </w:pPr>
      <w:r w:rsidRPr="0058562C">
        <w:rPr>
          <w:rFonts w:ascii="Arial" w:hAnsi="Arial" w:cs="Arial"/>
          <w:b/>
        </w:rPr>
        <w:t>NEW ZEALAND AMATEUR RADIO LICENSING and BAND PLANNING</w:t>
      </w:r>
      <w:r w:rsidR="0058562C">
        <w:rPr>
          <w:rFonts w:ascii="Arial" w:hAnsi="Arial" w:cs="Arial"/>
          <w:b/>
        </w:rPr>
        <w:t xml:space="preserve"> - 2015</w:t>
      </w:r>
    </w:p>
    <w:p w:rsidR="0058562C" w:rsidRPr="00D744EC" w:rsidRDefault="0058562C" w:rsidP="0058562C">
      <w:pPr>
        <w:jc w:val="center"/>
        <w:rPr>
          <w:rFonts w:eastAsia="ＭＳ 明朝"/>
          <w:lang w:eastAsia="ja-JP"/>
        </w:rPr>
      </w:pPr>
      <w:r w:rsidRPr="00D744EC">
        <w:t xml:space="preserve">A paper from the New Zealand Association of Radio Transmitters Incorporated (NZART) </w:t>
      </w:r>
    </w:p>
    <w:p w:rsidR="008F5885" w:rsidRPr="0058562C" w:rsidRDefault="008F5885" w:rsidP="0058562C">
      <w:pPr>
        <w:spacing w:after="120" w:line="264" w:lineRule="auto"/>
        <w:rPr>
          <w:rFonts w:ascii="Arial" w:hAnsi="Arial" w:cs="Arial"/>
          <w:b/>
        </w:rPr>
      </w:pPr>
      <w:bookmarkStart w:id="1" w:name="_GoBack"/>
      <w:bookmarkEnd w:id="1"/>
    </w:p>
    <w:p w:rsidR="008F5885" w:rsidRPr="0058562C" w:rsidRDefault="008F5885" w:rsidP="0058562C">
      <w:pPr>
        <w:spacing w:after="120" w:line="264" w:lineRule="auto"/>
        <w:contextualSpacing/>
        <w:rPr>
          <w:rFonts w:ascii="Arial" w:hAnsi="Arial" w:cs="Arial"/>
          <w:b/>
        </w:rPr>
      </w:pPr>
      <w:r w:rsidRPr="0058562C">
        <w:rPr>
          <w:rFonts w:ascii="Arial" w:hAnsi="Arial" w:cs="Arial"/>
          <w:b/>
        </w:rPr>
        <w:t>Background</w:t>
      </w:r>
    </w:p>
    <w:p w:rsidR="00723F31" w:rsidRDefault="00723F31" w:rsidP="003D2536">
      <w:pPr>
        <w:spacing w:after="200" w:line="276" w:lineRule="auto"/>
        <w:jc w:val="both"/>
        <w:rPr>
          <w:rFonts w:ascii="Arial" w:hAnsi="Arial" w:cs="Arial"/>
        </w:rPr>
      </w:pPr>
      <w:r>
        <w:rPr>
          <w:rFonts w:ascii="Arial" w:hAnsi="Arial" w:cs="Arial"/>
        </w:rPr>
        <w:t xml:space="preserve">NZART is authorized by the New Zealand Administration to hold examinations, issue </w:t>
      </w:r>
      <w:proofErr w:type="spellStart"/>
      <w:r>
        <w:rPr>
          <w:rFonts w:ascii="Arial" w:hAnsi="Arial" w:cs="Arial"/>
        </w:rPr>
        <w:t>licences</w:t>
      </w:r>
      <w:proofErr w:type="spellEnd"/>
      <w:r>
        <w:rPr>
          <w:rFonts w:ascii="Arial" w:hAnsi="Arial" w:cs="Arial"/>
        </w:rPr>
        <w:t xml:space="preserve"> and </w:t>
      </w:r>
      <w:proofErr w:type="spellStart"/>
      <w:r>
        <w:rPr>
          <w:rFonts w:ascii="Arial" w:hAnsi="Arial" w:cs="Arial"/>
        </w:rPr>
        <w:t>callsigns</w:t>
      </w:r>
      <w:proofErr w:type="spellEnd"/>
      <w:r>
        <w:rPr>
          <w:rFonts w:ascii="Arial" w:hAnsi="Arial" w:cs="Arial"/>
        </w:rPr>
        <w:t xml:space="preserve"> for New Zealand radio amateurs. This also covers the organization and frequency coordination of radio amateur repeaters and Beacons.</w:t>
      </w:r>
    </w:p>
    <w:p w:rsidR="008F5885" w:rsidRPr="0058562C" w:rsidRDefault="008F5885" w:rsidP="003D2536">
      <w:pPr>
        <w:spacing w:after="200" w:line="276" w:lineRule="auto"/>
        <w:jc w:val="both"/>
        <w:rPr>
          <w:rFonts w:ascii="Arial" w:hAnsi="Arial" w:cs="Arial"/>
        </w:rPr>
      </w:pPr>
      <w:r w:rsidRPr="0058562C">
        <w:rPr>
          <w:rFonts w:ascii="Arial" w:hAnsi="Arial" w:cs="Arial"/>
        </w:rPr>
        <w:t xml:space="preserve">NZART </w:t>
      </w:r>
      <w:r w:rsidR="003D2536">
        <w:rPr>
          <w:rFonts w:ascii="Arial" w:hAnsi="Arial" w:cs="Arial"/>
        </w:rPr>
        <w:t>has re-</w:t>
      </w:r>
      <w:proofErr w:type="spellStart"/>
      <w:r w:rsidR="003D2536">
        <w:rPr>
          <w:rFonts w:ascii="Arial" w:hAnsi="Arial" w:cs="Arial"/>
        </w:rPr>
        <w:t>organised</w:t>
      </w:r>
      <w:proofErr w:type="spellEnd"/>
      <w:r w:rsidRPr="0058562C">
        <w:rPr>
          <w:rFonts w:ascii="Arial" w:hAnsi="Arial" w:cs="Arial"/>
        </w:rPr>
        <w:t xml:space="preserve"> the former Frequency Management and Technical Advice Group (FMTAG) </w:t>
      </w:r>
      <w:r w:rsidR="003D2536">
        <w:rPr>
          <w:rFonts w:ascii="Arial" w:hAnsi="Arial" w:cs="Arial"/>
        </w:rPr>
        <w:t>by splitting the operation into</w:t>
      </w:r>
      <w:r w:rsidRPr="0058562C">
        <w:rPr>
          <w:rFonts w:ascii="Arial" w:hAnsi="Arial" w:cs="Arial"/>
        </w:rPr>
        <w:t xml:space="preserve"> a</w:t>
      </w:r>
      <w:r w:rsidR="00723F31">
        <w:rPr>
          <w:rFonts w:ascii="Arial" w:hAnsi="Arial" w:cs="Arial"/>
        </w:rPr>
        <w:t>n</w:t>
      </w:r>
      <w:r w:rsidRPr="0058562C">
        <w:rPr>
          <w:rFonts w:ascii="Arial" w:hAnsi="Arial" w:cs="Arial"/>
        </w:rPr>
        <w:t xml:space="preserve"> Engineering and Licensing Group (ELG)</w:t>
      </w:r>
      <w:r w:rsidR="00723F31">
        <w:rPr>
          <w:rFonts w:ascii="Arial" w:hAnsi="Arial" w:cs="Arial"/>
        </w:rPr>
        <w:t>,</w:t>
      </w:r>
      <w:r w:rsidRPr="0058562C">
        <w:rPr>
          <w:rFonts w:ascii="Arial" w:hAnsi="Arial" w:cs="Arial"/>
        </w:rPr>
        <w:t xml:space="preserve"> and </w:t>
      </w:r>
      <w:r w:rsidR="00723F31">
        <w:rPr>
          <w:rFonts w:ascii="Arial" w:hAnsi="Arial" w:cs="Arial"/>
        </w:rPr>
        <w:t>a Band Planning Group</w:t>
      </w:r>
      <w:r w:rsidRPr="0058562C">
        <w:rPr>
          <w:rFonts w:ascii="Arial" w:hAnsi="Arial" w:cs="Arial"/>
        </w:rPr>
        <w:t xml:space="preserve"> (BPG).</w:t>
      </w:r>
    </w:p>
    <w:p w:rsidR="008F5885" w:rsidRPr="0058562C" w:rsidRDefault="008F5885" w:rsidP="003D2536">
      <w:pPr>
        <w:spacing w:after="200" w:line="276" w:lineRule="auto"/>
        <w:jc w:val="both"/>
        <w:rPr>
          <w:rFonts w:ascii="Arial" w:hAnsi="Arial" w:cs="Arial"/>
        </w:rPr>
      </w:pPr>
      <w:r w:rsidRPr="0058562C">
        <w:rPr>
          <w:rFonts w:ascii="Arial" w:hAnsi="Arial" w:cs="Arial"/>
        </w:rPr>
        <w:t xml:space="preserve">This </w:t>
      </w:r>
      <w:r w:rsidR="00723F31">
        <w:rPr>
          <w:rFonts w:ascii="Arial" w:hAnsi="Arial" w:cs="Arial"/>
        </w:rPr>
        <w:t>has resulted in</w:t>
      </w:r>
      <w:r w:rsidRPr="0058562C">
        <w:rPr>
          <w:rFonts w:ascii="Arial" w:hAnsi="Arial" w:cs="Arial"/>
        </w:rPr>
        <w:t xml:space="preserve"> a </w:t>
      </w:r>
      <w:r w:rsidR="00723F31">
        <w:rPr>
          <w:rFonts w:ascii="Arial" w:hAnsi="Arial" w:cs="Arial"/>
        </w:rPr>
        <w:t>significantly</w:t>
      </w:r>
      <w:r w:rsidRPr="0058562C">
        <w:rPr>
          <w:rFonts w:ascii="Arial" w:hAnsi="Arial" w:cs="Arial"/>
        </w:rPr>
        <w:t xml:space="preserve"> reduced work load </w:t>
      </w:r>
      <w:r w:rsidR="003D2536" w:rsidRPr="0058562C">
        <w:rPr>
          <w:rFonts w:ascii="Arial" w:hAnsi="Arial" w:cs="Arial"/>
        </w:rPr>
        <w:t xml:space="preserve">from </w:t>
      </w:r>
      <w:r w:rsidR="003D2536">
        <w:rPr>
          <w:rFonts w:ascii="Arial" w:hAnsi="Arial" w:cs="Arial"/>
        </w:rPr>
        <w:t>the original</w:t>
      </w:r>
      <w:r w:rsidR="003D2536" w:rsidRPr="0058562C">
        <w:rPr>
          <w:rFonts w:ascii="Arial" w:hAnsi="Arial" w:cs="Arial"/>
        </w:rPr>
        <w:t xml:space="preserve"> </w:t>
      </w:r>
      <w:r w:rsidR="003D2536">
        <w:rPr>
          <w:rFonts w:ascii="Arial" w:hAnsi="Arial" w:cs="Arial"/>
        </w:rPr>
        <w:t>single</w:t>
      </w:r>
      <w:r w:rsidR="003D2536" w:rsidRPr="0058562C">
        <w:rPr>
          <w:rFonts w:ascii="Arial" w:hAnsi="Arial" w:cs="Arial"/>
        </w:rPr>
        <w:t xml:space="preserve"> engineer operation </w:t>
      </w:r>
      <w:r w:rsidR="003D2536">
        <w:rPr>
          <w:rFonts w:ascii="Arial" w:hAnsi="Arial" w:cs="Arial"/>
        </w:rPr>
        <w:t>while introducing</w:t>
      </w:r>
      <w:r w:rsidRPr="0058562C">
        <w:rPr>
          <w:rFonts w:ascii="Arial" w:hAnsi="Arial" w:cs="Arial"/>
        </w:rPr>
        <w:t xml:space="preserve"> </w:t>
      </w:r>
      <w:r w:rsidR="003D2536">
        <w:rPr>
          <w:rFonts w:ascii="Arial" w:hAnsi="Arial" w:cs="Arial"/>
        </w:rPr>
        <w:t xml:space="preserve">much needed </w:t>
      </w:r>
      <w:r w:rsidRPr="0058562C">
        <w:rPr>
          <w:rFonts w:ascii="Arial" w:hAnsi="Arial" w:cs="Arial"/>
        </w:rPr>
        <w:t>succession planning.</w:t>
      </w:r>
    </w:p>
    <w:p w:rsidR="008F5885" w:rsidRPr="0058562C" w:rsidRDefault="008F5885" w:rsidP="003D2536">
      <w:pPr>
        <w:spacing w:after="200" w:line="276" w:lineRule="auto"/>
        <w:jc w:val="both"/>
        <w:rPr>
          <w:rFonts w:ascii="Arial" w:hAnsi="Arial" w:cs="Arial"/>
        </w:rPr>
      </w:pPr>
      <w:r w:rsidRPr="0058562C">
        <w:rPr>
          <w:rFonts w:ascii="Arial" w:hAnsi="Arial" w:cs="Arial"/>
        </w:rPr>
        <w:t xml:space="preserve">Licensing and Engineering Group (ELG) </w:t>
      </w:r>
      <w:r w:rsidR="00723F31">
        <w:rPr>
          <w:rFonts w:ascii="Arial" w:hAnsi="Arial" w:cs="Arial"/>
        </w:rPr>
        <w:t>has</w:t>
      </w:r>
      <w:r w:rsidRPr="0058562C">
        <w:rPr>
          <w:rFonts w:ascii="Arial" w:hAnsi="Arial" w:cs="Arial"/>
        </w:rPr>
        <w:t xml:space="preserve"> a minimum of three “Approved Radio Engineers” (ARE)</w:t>
      </w:r>
      <w:r w:rsidR="00723F31">
        <w:rPr>
          <w:rFonts w:ascii="Arial" w:hAnsi="Arial" w:cs="Arial"/>
        </w:rPr>
        <w:t>,</w:t>
      </w:r>
      <w:r w:rsidRPr="0058562C">
        <w:rPr>
          <w:rFonts w:ascii="Arial" w:hAnsi="Arial" w:cs="Arial"/>
        </w:rPr>
        <w:t xml:space="preserve"> or the technician grade “Approved Radio Certifiers” (ARC). These are the </w:t>
      </w:r>
      <w:r w:rsidR="00723F31">
        <w:rPr>
          <w:rFonts w:ascii="Arial" w:hAnsi="Arial" w:cs="Arial"/>
        </w:rPr>
        <w:t xml:space="preserve">Administration </w:t>
      </w:r>
      <w:r w:rsidRPr="0058562C">
        <w:rPr>
          <w:rFonts w:ascii="Arial" w:hAnsi="Arial" w:cs="Arial"/>
        </w:rPr>
        <w:t xml:space="preserve">Radio Regulator’s “approved persons” that professionally engineer and certify Spectrum &amp; Radio </w:t>
      </w:r>
      <w:proofErr w:type="spellStart"/>
      <w:r w:rsidRPr="0058562C">
        <w:rPr>
          <w:rFonts w:ascii="Arial" w:hAnsi="Arial" w:cs="Arial"/>
        </w:rPr>
        <w:t>licences</w:t>
      </w:r>
      <w:proofErr w:type="spellEnd"/>
      <w:r w:rsidRPr="0058562C">
        <w:rPr>
          <w:rFonts w:ascii="Arial" w:hAnsi="Arial" w:cs="Arial"/>
        </w:rPr>
        <w:t xml:space="preserve"> (ARE only) or Radio </w:t>
      </w:r>
      <w:proofErr w:type="spellStart"/>
      <w:r w:rsidRPr="0058562C">
        <w:rPr>
          <w:rFonts w:ascii="Arial" w:hAnsi="Arial" w:cs="Arial"/>
        </w:rPr>
        <w:t>licences</w:t>
      </w:r>
      <w:proofErr w:type="spellEnd"/>
      <w:r w:rsidRPr="0058562C">
        <w:rPr>
          <w:rFonts w:ascii="Arial" w:hAnsi="Arial" w:cs="Arial"/>
        </w:rPr>
        <w:t xml:space="preserve"> (ARE or ARC). The Team Leader of ELG must be an ARE. Currently all three members of ELG are AREs.</w:t>
      </w:r>
    </w:p>
    <w:p w:rsidR="008F5885" w:rsidRPr="0058562C" w:rsidRDefault="008F5885" w:rsidP="003D2536">
      <w:pPr>
        <w:spacing w:after="200" w:line="276" w:lineRule="auto"/>
        <w:jc w:val="both"/>
        <w:rPr>
          <w:rFonts w:ascii="Arial" w:hAnsi="Arial" w:cs="Arial"/>
        </w:rPr>
      </w:pPr>
      <w:proofErr w:type="spellStart"/>
      <w:r w:rsidRPr="0058562C">
        <w:rPr>
          <w:rFonts w:ascii="Arial" w:hAnsi="Arial" w:cs="Arial"/>
        </w:rPr>
        <w:t>Licence</w:t>
      </w:r>
      <w:proofErr w:type="spellEnd"/>
      <w:r w:rsidRPr="0058562C">
        <w:rPr>
          <w:rFonts w:ascii="Arial" w:hAnsi="Arial" w:cs="Arial"/>
        </w:rPr>
        <w:t xml:space="preserve"> applications for repeater &amp; beacon </w:t>
      </w:r>
      <w:proofErr w:type="spellStart"/>
      <w:r w:rsidRPr="0058562C">
        <w:rPr>
          <w:rFonts w:ascii="Arial" w:hAnsi="Arial" w:cs="Arial"/>
        </w:rPr>
        <w:t>licences</w:t>
      </w:r>
      <w:proofErr w:type="spellEnd"/>
      <w:r w:rsidRPr="0058562C">
        <w:rPr>
          <w:rFonts w:ascii="Arial" w:hAnsi="Arial" w:cs="Arial"/>
        </w:rPr>
        <w:t xml:space="preserve"> are received either directly by ELG &amp; engineered by them or externally through an external ARE or ARC on behalf of the applicant. The ELG engineering team donate their professional time </w:t>
      </w:r>
      <w:r w:rsidR="00723F31">
        <w:rPr>
          <w:rFonts w:ascii="Arial" w:hAnsi="Arial" w:cs="Arial"/>
        </w:rPr>
        <w:t xml:space="preserve">free of charge </w:t>
      </w:r>
      <w:r w:rsidRPr="0058562C">
        <w:rPr>
          <w:rFonts w:ascii="Arial" w:hAnsi="Arial" w:cs="Arial"/>
        </w:rPr>
        <w:t>to NZART.</w:t>
      </w:r>
    </w:p>
    <w:p w:rsidR="008F5885" w:rsidRPr="0058562C" w:rsidRDefault="008F5885" w:rsidP="003D2536">
      <w:pPr>
        <w:spacing w:after="200" w:line="276" w:lineRule="auto"/>
        <w:jc w:val="both"/>
        <w:rPr>
          <w:rFonts w:ascii="Arial" w:hAnsi="Arial" w:cs="Arial"/>
        </w:rPr>
      </w:pPr>
      <w:r w:rsidRPr="0058562C">
        <w:rPr>
          <w:rFonts w:ascii="Arial" w:hAnsi="Arial" w:cs="Arial"/>
        </w:rPr>
        <w:t xml:space="preserve">ELG also act as the NZART Licensing Agency for all New Zealand amateur radio applications. This a </w:t>
      </w:r>
      <w:r w:rsidR="005C184C">
        <w:rPr>
          <w:rFonts w:ascii="Arial" w:hAnsi="Arial" w:cs="Arial"/>
        </w:rPr>
        <w:t xml:space="preserve">delegated </w:t>
      </w:r>
      <w:r w:rsidRPr="0058562C">
        <w:rPr>
          <w:rFonts w:ascii="Arial" w:hAnsi="Arial" w:cs="Arial"/>
        </w:rPr>
        <w:t>function of the Radio Regulator, to accept or reject applications received, having regard to the published band plans, frequency reuse and other engineering criteria.</w:t>
      </w:r>
    </w:p>
    <w:p w:rsidR="008F5885" w:rsidRPr="0058562C" w:rsidRDefault="005C184C" w:rsidP="003D2536">
      <w:pPr>
        <w:spacing w:after="200" w:line="276" w:lineRule="auto"/>
        <w:jc w:val="both"/>
        <w:rPr>
          <w:rFonts w:ascii="Arial" w:hAnsi="Arial" w:cs="Arial"/>
        </w:rPr>
      </w:pPr>
      <w:r>
        <w:rPr>
          <w:rFonts w:ascii="Arial" w:hAnsi="Arial" w:cs="Arial"/>
        </w:rPr>
        <w:lastRenderedPageBreak/>
        <w:t xml:space="preserve">NZART council have </w:t>
      </w:r>
      <w:r w:rsidR="008F5885" w:rsidRPr="0058562C">
        <w:rPr>
          <w:rFonts w:ascii="Arial" w:hAnsi="Arial" w:cs="Arial"/>
        </w:rPr>
        <w:t xml:space="preserve">agreed to a simplified </w:t>
      </w:r>
      <w:proofErr w:type="spellStart"/>
      <w:r w:rsidR="008F5885" w:rsidRPr="0058562C">
        <w:rPr>
          <w:rFonts w:ascii="Arial" w:hAnsi="Arial" w:cs="Arial"/>
        </w:rPr>
        <w:t>licence</w:t>
      </w:r>
      <w:proofErr w:type="spellEnd"/>
      <w:r w:rsidR="008F5885" w:rsidRPr="0058562C">
        <w:rPr>
          <w:rFonts w:ascii="Arial" w:hAnsi="Arial" w:cs="Arial"/>
        </w:rPr>
        <w:t xml:space="preserve"> application, the only details </w:t>
      </w:r>
      <w:r>
        <w:rPr>
          <w:rFonts w:ascii="Arial" w:hAnsi="Arial" w:cs="Arial"/>
        </w:rPr>
        <w:t>now required are those that will appear</w:t>
      </w:r>
      <w:r w:rsidR="008F5885" w:rsidRPr="0058562C">
        <w:rPr>
          <w:rFonts w:ascii="Arial" w:hAnsi="Arial" w:cs="Arial"/>
        </w:rPr>
        <w:t xml:space="preserve"> on the completed </w:t>
      </w:r>
      <w:proofErr w:type="spellStart"/>
      <w:r w:rsidR="008F5885" w:rsidRPr="0058562C">
        <w:rPr>
          <w:rFonts w:ascii="Arial" w:hAnsi="Arial" w:cs="Arial"/>
        </w:rPr>
        <w:t>licence</w:t>
      </w:r>
      <w:proofErr w:type="spellEnd"/>
      <w:r w:rsidR="008F5885" w:rsidRPr="0058562C">
        <w:rPr>
          <w:rFonts w:ascii="Arial" w:hAnsi="Arial" w:cs="Arial"/>
        </w:rPr>
        <w:t>.</w:t>
      </w:r>
    </w:p>
    <w:p w:rsidR="003D2536" w:rsidRDefault="003D2536" w:rsidP="003D2536">
      <w:pPr>
        <w:spacing w:after="200" w:line="276" w:lineRule="auto"/>
        <w:contextualSpacing/>
        <w:jc w:val="both"/>
        <w:rPr>
          <w:rFonts w:ascii="Arial" w:hAnsi="Arial" w:cs="Arial"/>
          <w:b/>
        </w:rPr>
      </w:pPr>
    </w:p>
    <w:p w:rsidR="008F5885" w:rsidRPr="0058562C" w:rsidRDefault="008F5885" w:rsidP="003D2536">
      <w:pPr>
        <w:spacing w:after="200" w:line="276" w:lineRule="auto"/>
        <w:contextualSpacing/>
        <w:jc w:val="both"/>
        <w:rPr>
          <w:rFonts w:ascii="Arial" w:hAnsi="Arial" w:cs="Arial"/>
          <w:b/>
        </w:rPr>
      </w:pPr>
      <w:r w:rsidRPr="0058562C">
        <w:rPr>
          <w:rFonts w:ascii="Arial" w:hAnsi="Arial" w:cs="Arial"/>
          <w:b/>
        </w:rPr>
        <w:t>Band Planning Group</w:t>
      </w:r>
    </w:p>
    <w:p w:rsidR="008F5885" w:rsidRPr="0058562C" w:rsidRDefault="008F5885" w:rsidP="003D2536">
      <w:pPr>
        <w:spacing w:after="200" w:line="276" w:lineRule="auto"/>
        <w:jc w:val="both"/>
        <w:rPr>
          <w:rFonts w:ascii="Arial" w:hAnsi="Arial" w:cs="Arial"/>
        </w:rPr>
      </w:pPr>
      <w:r w:rsidRPr="0058562C">
        <w:rPr>
          <w:rFonts w:ascii="Arial" w:hAnsi="Arial" w:cs="Arial"/>
        </w:rPr>
        <w:t xml:space="preserve">These are infrequently used groups that convene for a specific task. This could be a HF group consisting of members with an excellent knowledge and </w:t>
      </w:r>
      <w:r w:rsidR="005C184C">
        <w:rPr>
          <w:rFonts w:ascii="Arial" w:hAnsi="Arial" w:cs="Arial"/>
        </w:rPr>
        <w:t>experience on</w:t>
      </w:r>
      <w:r w:rsidRPr="0058562C">
        <w:rPr>
          <w:rFonts w:ascii="Arial" w:hAnsi="Arial" w:cs="Arial"/>
        </w:rPr>
        <w:t xml:space="preserve"> the band under scrutiny, likewise a VHF, UHF or SHF group </w:t>
      </w:r>
      <w:r w:rsidR="005C184C">
        <w:rPr>
          <w:rFonts w:ascii="Arial" w:hAnsi="Arial" w:cs="Arial"/>
        </w:rPr>
        <w:t xml:space="preserve">is assembled </w:t>
      </w:r>
      <w:r w:rsidRPr="0058562C">
        <w:rPr>
          <w:rFonts w:ascii="Arial" w:hAnsi="Arial" w:cs="Arial"/>
        </w:rPr>
        <w:t>from members with frequent use, engineering and band planning knowledge</w:t>
      </w:r>
      <w:r w:rsidR="005C184C">
        <w:rPr>
          <w:rFonts w:ascii="Arial" w:hAnsi="Arial" w:cs="Arial"/>
        </w:rPr>
        <w:t xml:space="preserve"> on </w:t>
      </w:r>
      <w:proofErr w:type="spellStart"/>
      <w:r w:rsidR="005C184C">
        <w:rPr>
          <w:rFonts w:ascii="Arial" w:hAnsi="Arial" w:cs="Arial"/>
        </w:rPr>
        <w:t>ghose</w:t>
      </w:r>
      <w:proofErr w:type="spellEnd"/>
      <w:r w:rsidR="005C184C">
        <w:rPr>
          <w:rFonts w:ascii="Arial" w:hAnsi="Arial" w:cs="Arial"/>
        </w:rPr>
        <w:t xml:space="preserve"> bands</w:t>
      </w:r>
      <w:r w:rsidRPr="0058562C">
        <w:rPr>
          <w:rFonts w:ascii="Arial" w:hAnsi="Arial" w:cs="Arial"/>
        </w:rPr>
        <w:t>.  The ELG team leader is also a member of the VHF and above Band Planning Group.</w:t>
      </w:r>
    </w:p>
    <w:p w:rsidR="005C184C" w:rsidRDefault="008F5885" w:rsidP="003D2536">
      <w:pPr>
        <w:spacing w:after="200" w:line="276" w:lineRule="auto"/>
        <w:jc w:val="both"/>
        <w:rPr>
          <w:rFonts w:ascii="Arial" w:hAnsi="Arial" w:cs="Arial"/>
        </w:rPr>
      </w:pPr>
      <w:r w:rsidRPr="0058562C">
        <w:rPr>
          <w:rFonts w:ascii="Arial" w:hAnsi="Arial" w:cs="Arial"/>
        </w:rPr>
        <w:t xml:space="preserve">Presently a 9 cm band planning group is operating. This has </w:t>
      </w:r>
      <w:r w:rsidR="005C184C">
        <w:rPr>
          <w:rFonts w:ascii="Arial" w:hAnsi="Arial" w:cs="Arial"/>
        </w:rPr>
        <w:t>arisen</w:t>
      </w:r>
      <w:r w:rsidRPr="0058562C">
        <w:rPr>
          <w:rFonts w:ascii="Arial" w:hAnsi="Arial" w:cs="Arial"/>
        </w:rPr>
        <w:t xml:space="preserve"> by evolving use of the 9 cm band. The current New Zealand 9 cm band plan is</w:t>
      </w:r>
      <w:r w:rsidR="005C184C">
        <w:rPr>
          <w:rFonts w:ascii="Arial" w:hAnsi="Arial" w:cs="Arial"/>
        </w:rPr>
        <w:t xml:space="preserve"> </w:t>
      </w:r>
      <w:r w:rsidRPr="0058562C">
        <w:rPr>
          <w:rFonts w:ascii="Arial" w:hAnsi="Arial" w:cs="Arial"/>
        </w:rPr>
        <w:t>o</w:t>
      </w:r>
      <w:r w:rsidR="005C184C">
        <w:rPr>
          <w:rFonts w:ascii="Arial" w:hAnsi="Arial" w:cs="Arial"/>
        </w:rPr>
        <w:t>bsolete as</w:t>
      </w:r>
      <w:r w:rsidRPr="0058562C">
        <w:rPr>
          <w:rFonts w:ascii="Arial" w:hAnsi="Arial" w:cs="Arial"/>
        </w:rPr>
        <w:t xml:space="preserve"> international use has changed, for example the international weak signal 1 MHz segment (including EME) has now become 3400-3401 </w:t>
      </w:r>
      <w:proofErr w:type="spellStart"/>
      <w:r w:rsidRPr="0058562C">
        <w:rPr>
          <w:rFonts w:ascii="Arial" w:hAnsi="Arial" w:cs="Arial"/>
        </w:rPr>
        <w:t>MHz.</w:t>
      </w:r>
      <w:proofErr w:type="spellEnd"/>
      <w:r w:rsidRPr="0058562C">
        <w:rPr>
          <w:rFonts w:ascii="Arial" w:hAnsi="Arial" w:cs="Arial"/>
        </w:rPr>
        <w:t xml:space="preserve"> A new beacon application was received to operate in the correct frequency segment but the band plan</w:t>
      </w:r>
      <w:r w:rsidR="005C184C">
        <w:rPr>
          <w:rFonts w:ascii="Arial" w:hAnsi="Arial" w:cs="Arial"/>
        </w:rPr>
        <w:t>,</w:t>
      </w:r>
      <w:r w:rsidRPr="0058562C">
        <w:rPr>
          <w:rFonts w:ascii="Arial" w:hAnsi="Arial" w:cs="Arial"/>
        </w:rPr>
        <w:t xml:space="preserve"> being outdated</w:t>
      </w:r>
      <w:r w:rsidR="005C184C">
        <w:rPr>
          <w:rFonts w:ascii="Arial" w:hAnsi="Arial" w:cs="Arial"/>
        </w:rPr>
        <w:t>,</w:t>
      </w:r>
      <w:r w:rsidRPr="0058562C">
        <w:rPr>
          <w:rFonts w:ascii="Arial" w:hAnsi="Arial" w:cs="Arial"/>
        </w:rPr>
        <w:t xml:space="preserve"> </w:t>
      </w:r>
      <w:r w:rsidR="005C184C">
        <w:rPr>
          <w:rFonts w:ascii="Arial" w:hAnsi="Arial" w:cs="Arial"/>
        </w:rPr>
        <w:t>required adjusting</w:t>
      </w:r>
      <w:r w:rsidRPr="0058562C">
        <w:rPr>
          <w:rFonts w:ascii="Arial" w:hAnsi="Arial" w:cs="Arial"/>
        </w:rPr>
        <w:t xml:space="preserve"> to </w:t>
      </w:r>
      <w:proofErr w:type="spellStart"/>
      <w:r w:rsidRPr="0058562C">
        <w:rPr>
          <w:rFonts w:ascii="Arial" w:hAnsi="Arial" w:cs="Arial"/>
        </w:rPr>
        <w:t>recognise</w:t>
      </w:r>
      <w:proofErr w:type="spellEnd"/>
      <w:r w:rsidRPr="0058562C">
        <w:rPr>
          <w:rFonts w:ascii="Arial" w:hAnsi="Arial" w:cs="Arial"/>
        </w:rPr>
        <w:t xml:space="preserve"> th</w:t>
      </w:r>
      <w:r w:rsidR="005C184C">
        <w:rPr>
          <w:rFonts w:ascii="Arial" w:hAnsi="Arial" w:cs="Arial"/>
        </w:rPr>
        <w:t>e modernized Band Plan</w:t>
      </w:r>
      <w:r w:rsidRPr="0058562C">
        <w:rPr>
          <w:rFonts w:ascii="Arial" w:hAnsi="Arial" w:cs="Arial"/>
        </w:rPr>
        <w:t xml:space="preserve">.  </w:t>
      </w:r>
    </w:p>
    <w:p w:rsidR="008F5885" w:rsidRPr="0058562C" w:rsidRDefault="008F5885" w:rsidP="003D2536">
      <w:pPr>
        <w:spacing w:after="200" w:line="276" w:lineRule="auto"/>
        <w:jc w:val="both"/>
        <w:rPr>
          <w:rFonts w:ascii="Arial" w:hAnsi="Arial" w:cs="Arial"/>
        </w:rPr>
      </w:pPr>
      <w:r w:rsidRPr="0058562C">
        <w:rPr>
          <w:rFonts w:ascii="Arial" w:hAnsi="Arial" w:cs="Arial"/>
        </w:rPr>
        <w:t xml:space="preserve">Projected Satellite spectrum has also changed although there has never been satellite operation on this band. More recently our closest </w:t>
      </w:r>
      <w:proofErr w:type="spellStart"/>
      <w:r w:rsidRPr="0058562C">
        <w:rPr>
          <w:rFonts w:ascii="Arial" w:hAnsi="Arial" w:cs="Arial"/>
        </w:rPr>
        <w:t>neighbours</w:t>
      </w:r>
      <w:proofErr w:type="spellEnd"/>
      <w:r w:rsidRPr="0058562C">
        <w:rPr>
          <w:rFonts w:ascii="Arial" w:hAnsi="Arial" w:cs="Arial"/>
        </w:rPr>
        <w:t xml:space="preserve">, Australia have lost the use </w:t>
      </w:r>
      <w:r w:rsidR="005C184C">
        <w:rPr>
          <w:rFonts w:ascii="Arial" w:hAnsi="Arial" w:cs="Arial"/>
        </w:rPr>
        <w:t xml:space="preserve">the segment </w:t>
      </w:r>
      <w:r w:rsidRPr="0058562C">
        <w:rPr>
          <w:rFonts w:ascii="Arial" w:hAnsi="Arial" w:cs="Arial"/>
        </w:rPr>
        <w:t xml:space="preserve">above 3400 MHz in metropolitan areas including the international DX segment mentioned earlier. Consideration is being given to their new change and how we can </w:t>
      </w:r>
      <w:proofErr w:type="spellStart"/>
      <w:r w:rsidRPr="0058562C">
        <w:rPr>
          <w:rFonts w:ascii="Arial" w:hAnsi="Arial" w:cs="Arial"/>
        </w:rPr>
        <w:t>harmonise</w:t>
      </w:r>
      <w:proofErr w:type="spellEnd"/>
      <w:r w:rsidRPr="0058562C">
        <w:rPr>
          <w:rFonts w:ascii="Arial" w:hAnsi="Arial" w:cs="Arial"/>
        </w:rPr>
        <w:t xml:space="preserve"> </w:t>
      </w:r>
      <w:r w:rsidR="005C184C">
        <w:rPr>
          <w:rFonts w:ascii="Arial" w:hAnsi="Arial" w:cs="Arial"/>
        </w:rPr>
        <w:t>our activities to their new DX segment</w:t>
      </w:r>
      <w:r w:rsidRPr="0058562C">
        <w:rPr>
          <w:rFonts w:ascii="Arial" w:hAnsi="Arial" w:cs="Arial"/>
        </w:rPr>
        <w:t xml:space="preserve">. </w:t>
      </w:r>
    </w:p>
    <w:p w:rsidR="008F5885" w:rsidRPr="0058562C" w:rsidRDefault="008F5885" w:rsidP="003D2536">
      <w:pPr>
        <w:spacing w:after="200" w:line="276" w:lineRule="auto"/>
        <w:contextualSpacing/>
        <w:jc w:val="both"/>
        <w:rPr>
          <w:rFonts w:ascii="Arial" w:hAnsi="Arial" w:cs="Arial"/>
          <w:b/>
        </w:rPr>
      </w:pPr>
      <w:r w:rsidRPr="0058562C">
        <w:rPr>
          <w:rFonts w:ascii="Arial" w:hAnsi="Arial" w:cs="Arial"/>
          <w:b/>
        </w:rPr>
        <w:t>NEW ZEALAND AMATEUR BANDS</w:t>
      </w:r>
    </w:p>
    <w:p w:rsidR="008F5885" w:rsidRPr="0058562C" w:rsidRDefault="008F5885" w:rsidP="003D2536">
      <w:pPr>
        <w:spacing w:after="200" w:line="276" w:lineRule="auto"/>
        <w:jc w:val="both"/>
        <w:rPr>
          <w:rFonts w:ascii="Arial" w:hAnsi="Arial" w:cs="Arial"/>
        </w:rPr>
      </w:pPr>
      <w:r w:rsidRPr="0058562C">
        <w:rPr>
          <w:rFonts w:ascii="Arial" w:hAnsi="Arial" w:cs="Arial"/>
        </w:rPr>
        <w:t>New Zealand Radio Amateurs have access to all the traditional MF, HF, VHF, UHF, SHF and EHF bands, with a transmitter output power of 1,000 Watts peak envelope power (PEP).</w:t>
      </w:r>
    </w:p>
    <w:p w:rsidR="008F5885" w:rsidRPr="0058562C" w:rsidRDefault="008F5885" w:rsidP="003D2536">
      <w:pPr>
        <w:spacing w:after="200" w:line="276" w:lineRule="auto"/>
        <w:jc w:val="both"/>
        <w:rPr>
          <w:rFonts w:ascii="Arial" w:hAnsi="Arial" w:cs="Arial"/>
        </w:rPr>
      </w:pPr>
      <w:r w:rsidRPr="0058562C">
        <w:rPr>
          <w:rFonts w:ascii="Arial" w:hAnsi="Arial" w:cs="Arial"/>
        </w:rPr>
        <w:t xml:space="preserve">Since the last report in 2012, the 50-51 MHz part of the six meter band </w:t>
      </w:r>
      <w:r w:rsidR="003D2536">
        <w:rPr>
          <w:rFonts w:ascii="Arial" w:hAnsi="Arial" w:cs="Arial"/>
        </w:rPr>
        <w:t>has been made available for use</w:t>
      </w:r>
      <w:r w:rsidRPr="0058562C">
        <w:rPr>
          <w:rFonts w:ascii="Arial" w:hAnsi="Arial" w:cs="Arial"/>
        </w:rPr>
        <w:t xml:space="preserve"> by all amateurs with a 1000 Watt isotropic radiated power (eirp) power level. By the time of the conference the band should be amateur exclusive </w:t>
      </w:r>
      <w:r w:rsidR="003D2536">
        <w:rPr>
          <w:rFonts w:ascii="Arial" w:hAnsi="Arial" w:cs="Arial"/>
        </w:rPr>
        <w:t>with</w:t>
      </w:r>
      <w:r w:rsidRPr="0058562C">
        <w:rPr>
          <w:rFonts w:ascii="Arial" w:hAnsi="Arial" w:cs="Arial"/>
        </w:rPr>
        <w:t xml:space="preserve"> a change to the standard 1000 Watt PEP transmitter output power. This is the first time since 1957 that New Zealand amateurs have had exclusive use of 50-51 </w:t>
      </w:r>
      <w:proofErr w:type="spellStart"/>
      <w:r w:rsidRPr="0058562C">
        <w:rPr>
          <w:rFonts w:ascii="Arial" w:hAnsi="Arial" w:cs="Arial"/>
        </w:rPr>
        <w:t>MHz.</w:t>
      </w:r>
      <w:proofErr w:type="spellEnd"/>
      <w:r w:rsidRPr="0058562C">
        <w:rPr>
          <w:rFonts w:ascii="Arial" w:hAnsi="Arial" w:cs="Arial"/>
        </w:rPr>
        <w:t xml:space="preserve"> </w:t>
      </w:r>
    </w:p>
    <w:p w:rsidR="008F5885" w:rsidRPr="0058562C" w:rsidRDefault="008F5885" w:rsidP="003D2536">
      <w:pPr>
        <w:spacing w:after="200" w:line="276" w:lineRule="auto"/>
        <w:jc w:val="both"/>
        <w:rPr>
          <w:rFonts w:ascii="Arial" w:hAnsi="Arial" w:cs="Arial"/>
        </w:rPr>
      </w:pPr>
      <w:r w:rsidRPr="0058562C">
        <w:rPr>
          <w:rFonts w:ascii="Arial" w:hAnsi="Arial" w:cs="Arial"/>
        </w:rPr>
        <w:t xml:space="preserve">The temporary 500 kHz allocation at 505-515 kHz has ceased and has been replaced with 472-479 kHz. NZART has been able to negotiate a </w:t>
      </w:r>
      <w:proofErr w:type="spellStart"/>
      <w:r w:rsidRPr="0058562C">
        <w:rPr>
          <w:rFonts w:ascii="Arial" w:hAnsi="Arial" w:cs="Arial"/>
        </w:rPr>
        <w:t>favourable</w:t>
      </w:r>
      <w:proofErr w:type="spellEnd"/>
      <w:r w:rsidRPr="0058562C">
        <w:rPr>
          <w:rFonts w:ascii="Arial" w:hAnsi="Arial" w:cs="Arial"/>
        </w:rPr>
        <w:t xml:space="preserve"> 25 Watt eirp power limit &amp; with no bandwidth or emission restriction. Present use is by a small but dedicated group using many modes including Digital, CW, SSB and AM.</w:t>
      </w:r>
    </w:p>
    <w:p w:rsidR="008F5885" w:rsidRPr="0058562C" w:rsidRDefault="008F5885" w:rsidP="003D2536">
      <w:pPr>
        <w:spacing w:after="200" w:line="276" w:lineRule="auto"/>
        <w:jc w:val="both"/>
        <w:rPr>
          <w:rFonts w:ascii="Arial" w:hAnsi="Arial" w:cs="Arial"/>
        </w:rPr>
      </w:pPr>
      <w:r w:rsidRPr="0058562C">
        <w:rPr>
          <w:rFonts w:ascii="Arial" w:hAnsi="Arial" w:cs="Arial"/>
        </w:rPr>
        <w:lastRenderedPageBreak/>
        <w:t xml:space="preserve">The 614-622 MHz band which was mainly used for amateur television has been withdrawn following the change to Digital Terrestrial Television. It is hoped that a TV channel immediately below the lowest frequency channel can be used for amateur DTTV repeater outputs. This is known as (channel) DTV25, at 502-510 </w:t>
      </w:r>
      <w:proofErr w:type="spellStart"/>
      <w:r w:rsidRPr="0058562C">
        <w:rPr>
          <w:rFonts w:ascii="Arial" w:hAnsi="Arial" w:cs="Arial"/>
        </w:rPr>
        <w:t>MHz.</w:t>
      </w:r>
      <w:proofErr w:type="spellEnd"/>
      <w:r w:rsidRPr="0058562C">
        <w:rPr>
          <w:rFonts w:ascii="Arial" w:hAnsi="Arial" w:cs="Arial"/>
        </w:rPr>
        <w:t xml:space="preserve"> It is mainly used as a guard band but with short term low power commerc</w:t>
      </w:r>
      <w:r w:rsidR="0058562C" w:rsidRPr="0058562C">
        <w:rPr>
          <w:rFonts w:ascii="Arial" w:hAnsi="Arial" w:cs="Arial"/>
        </w:rPr>
        <w:t xml:space="preserve">ial DTTV use also. Work is </w:t>
      </w:r>
      <w:r w:rsidR="003D2536" w:rsidRPr="0058562C">
        <w:rPr>
          <w:rFonts w:ascii="Arial" w:hAnsi="Arial" w:cs="Arial"/>
        </w:rPr>
        <w:t>proceeding</w:t>
      </w:r>
      <w:r w:rsidRPr="0058562C">
        <w:rPr>
          <w:rFonts w:ascii="Arial" w:hAnsi="Arial" w:cs="Arial"/>
        </w:rPr>
        <w:t xml:space="preserve"> with the co-operation of the Radio Regulator and adjacent spectrum users with tests to ascertain the impact of very low level unwanted DTV emissions in the adjacent spectrum. Very clean DTV transmitters with extensive filtering are required for this application.</w:t>
      </w:r>
    </w:p>
    <w:p w:rsidR="00156D1D" w:rsidRPr="0058562C" w:rsidRDefault="00156D1D" w:rsidP="0058562C">
      <w:pPr>
        <w:spacing w:after="120" w:line="264" w:lineRule="auto"/>
        <w:rPr>
          <w:rFonts w:ascii="Arial" w:eastAsia="ＭＳ 明朝" w:hAnsi="Arial" w:cs="Arial"/>
          <w:lang w:eastAsia="ja-JP"/>
        </w:rPr>
      </w:pPr>
    </w:p>
    <w:p w:rsidR="00156D1D" w:rsidRPr="0058562C" w:rsidRDefault="00726191" w:rsidP="0058562C">
      <w:pPr>
        <w:pStyle w:val="Table"/>
        <w:keepNext w:val="0"/>
        <w:tabs>
          <w:tab w:val="clear" w:pos="794"/>
          <w:tab w:val="clear" w:pos="1191"/>
          <w:tab w:val="clear" w:pos="1588"/>
          <w:tab w:val="clear" w:pos="1985"/>
        </w:tabs>
        <w:spacing w:before="0" w:line="264" w:lineRule="auto"/>
        <w:rPr>
          <w:rFonts w:ascii="Arial" w:hAnsi="Arial" w:cs="Arial"/>
        </w:rPr>
      </w:pPr>
      <w:r w:rsidRPr="0058562C">
        <w:rPr>
          <w:rFonts w:ascii="Arial" w:hAnsi="Arial" w:cs="Arial"/>
          <w:caps w:val="0"/>
          <w:lang w:val="en-US"/>
        </w:rPr>
        <w:t>____________________</w:t>
      </w:r>
    </w:p>
    <w:sectPr w:rsidR="00156D1D" w:rsidRPr="0058562C" w:rsidSect="00A80565">
      <w:headerReference w:type="default" r:id="rId9"/>
      <w:pgSz w:w="11909" w:h="16834" w:code="9"/>
      <w:pgMar w:top="1418"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F6A" w:rsidRDefault="009C2F6A">
      <w:r>
        <w:separator/>
      </w:r>
    </w:p>
  </w:endnote>
  <w:endnote w:type="continuationSeparator" w:id="0">
    <w:p w:rsidR="009C2F6A" w:rsidRDefault="009C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F6A" w:rsidRDefault="009C2F6A">
      <w:r>
        <w:separator/>
      </w:r>
    </w:p>
  </w:footnote>
  <w:footnote w:type="continuationSeparator" w:id="0">
    <w:p w:rsidR="009C2F6A" w:rsidRDefault="009C2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1D" w:rsidRPr="00726191" w:rsidRDefault="00676C1D" w:rsidP="00726191">
    <w:pPr>
      <w:pStyle w:val="a7"/>
      <w:jc w:val="center"/>
      <w:rPr>
        <w:sz w:val="20"/>
        <w:szCs w:val="20"/>
      </w:rPr>
    </w:pPr>
    <w:r w:rsidRPr="00726191">
      <w:rPr>
        <w:sz w:val="20"/>
        <w:szCs w:val="20"/>
      </w:rPr>
      <w:t xml:space="preserve">- </w:t>
    </w:r>
    <w:r w:rsidRPr="00726191">
      <w:rPr>
        <w:rStyle w:val="a5"/>
        <w:sz w:val="20"/>
        <w:szCs w:val="20"/>
      </w:rPr>
      <w:fldChar w:fldCharType="begin"/>
    </w:r>
    <w:r w:rsidRPr="00726191">
      <w:rPr>
        <w:rStyle w:val="a5"/>
        <w:sz w:val="20"/>
        <w:szCs w:val="20"/>
      </w:rPr>
      <w:instrText xml:space="preserve"> PAGE </w:instrText>
    </w:r>
    <w:r w:rsidRPr="00726191">
      <w:rPr>
        <w:rStyle w:val="a5"/>
        <w:sz w:val="20"/>
        <w:szCs w:val="20"/>
      </w:rPr>
      <w:fldChar w:fldCharType="separate"/>
    </w:r>
    <w:r w:rsidR="00836A50">
      <w:rPr>
        <w:rStyle w:val="a5"/>
        <w:noProof/>
        <w:sz w:val="20"/>
        <w:szCs w:val="20"/>
      </w:rPr>
      <w:t>3</w:t>
    </w:r>
    <w:r w:rsidRPr="00726191">
      <w:rPr>
        <w:rStyle w:val="a5"/>
        <w:sz w:val="20"/>
        <w:szCs w:val="20"/>
      </w:rPr>
      <w:fldChar w:fldCharType="end"/>
    </w:r>
    <w:r w:rsidRPr="00726191">
      <w:rPr>
        <w:rStyle w:val="a5"/>
        <w:sz w:val="20"/>
        <w:szCs w:val="20"/>
      </w:rPr>
      <w:t xml:space="preserve"> </w:t>
    </w:r>
    <w:r w:rsidRPr="00726191">
      <w:rPr>
        <w:rStyle w:val="a5"/>
        <w:rFonts w:hint="eastAsia"/>
        <w:sz w:val="20"/>
        <w:szCs w:val="20"/>
      </w:rPr>
      <w:t>-</w:t>
    </w:r>
    <w:r w:rsidRPr="00726191">
      <w:rPr>
        <w:rStyle w:val="a5"/>
        <w:sz w:val="20"/>
        <w:szCs w:val="20"/>
      </w:rPr>
      <w:br/>
      <w:t>Document</w:t>
    </w:r>
    <w:r w:rsidRPr="00726191">
      <w:rPr>
        <w:rStyle w:val="a5"/>
        <w:rFonts w:hint="eastAsia"/>
        <w:sz w:val="20"/>
        <w:szCs w:val="20"/>
      </w:rPr>
      <w:t xml:space="preserve"> No.</w:t>
    </w:r>
    <w:r w:rsidRPr="00726191">
      <w:rPr>
        <w:rStyle w:val="a5"/>
        <w:sz w:val="20"/>
        <w:szCs w:val="20"/>
      </w:rPr>
      <w:t xml:space="preserve"> </w:t>
    </w:r>
    <w:r w:rsidR="000529A1">
      <w:rPr>
        <w:rStyle w:val="a5"/>
        <w:rFonts w:eastAsia="ＭＳ 明朝" w:hint="eastAsia"/>
        <w:sz w:val="20"/>
        <w:szCs w:val="20"/>
        <w:lang w:eastAsia="ja-JP"/>
      </w:rPr>
      <w:t>1</w:t>
    </w:r>
    <w:r w:rsidR="00847A46">
      <w:rPr>
        <w:rStyle w:val="a5"/>
        <w:rFonts w:eastAsia="ＭＳ 明朝"/>
        <w:sz w:val="20"/>
        <w:szCs w:val="20"/>
        <w:lang w:eastAsia="ja-JP"/>
      </w:rPr>
      <w:t>5</w:t>
    </w:r>
    <w:r w:rsidRPr="00726191">
      <w:rPr>
        <w:rStyle w:val="a5"/>
        <w:rFonts w:hint="eastAsia"/>
        <w:sz w:val="20"/>
        <w:szCs w:val="20"/>
      </w:rPr>
      <w:t>/XV</w:t>
    </w:r>
    <w:r w:rsidR="00847A46">
      <w:rPr>
        <w:rStyle w:val="a5"/>
        <w:sz w:val="20"/>
        <w:szCs w:val="20"/>
      </w:rPr>
      <w:t>I</w:t>
    </w:r>
    <w:r w:rsidRPr="00726191">
      <w:rPr>
        <w:rStyle w:val="a5"/>
        <w:rFonts w:hint="eastAsia"/>
        <w:sz w:val="20"/>
        <w:szCs w:val="20"/>
      </w:rPr>
      <w:t>/0</w:t>
    </w:r>
    <w:r w:rsidR="00836A50">
      <w:rPr>
        <w:rStyle w:val="a5"/>
        <w:sz w:val="20"/>
        <w:szCs w:val="20"/>
      </w:rPr>
      <w:t>42</w:t>
    </w:r>
  </w:p>
  <w:p w:rsidR="00676C1D" w:rsidRDefault="00676C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5"/>
  </w:num>
  <w:num w:numId="2">
    <w:abstractNumId w:val="3"/>
  </w:num>
  <w:num w:numId="3">
    <w:abstractNumId w:val="2"/>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85"/>
    <w:rsid w:val="00017CAF"/>
    <w:rsid w:val="0003595B"/>
    <w:rsid w:val="00035EFB"/>
    <w:rsid w:val="000529A1"/>
    <w:rsid w:val="0005660E"/>
    <w:rsid w:val="000713CF"/>
    <w:rsid w:val="000F5540"/>
    <w:rsid w:val="00113A81"/>
    <w:rsid w:val="001539DD"/>
    <w:rsid w:val="00156D1D"/>
    <w:rsid w:val="0017248C"/>
    <w:rsid w:val="00172C79"/>
    <w:rsid w:val="00172D1D"/>
    <w:rsid w:val="0019586B"/>
    <w:rsid w:val="00196568"/>
    <w:rsid w:val="001A2F16"/>
    <w:rsid w:val="001B18C2"/>
    <w:rsid w:val="001C619C"/>
    <w:rsid w:val="001D5D7E"/>
    <w:rsid w:val="00254A1B"/>
    <w:rsid w:val="0028454D"/>
    <w:rsid w:val="00291350"/>
    <w:rsid w:val="00291C9E"/>
    <w:rsid w:val="002926D4"/>
    <w:rsid w:val="002C07DA"/>
    <w:rsid w:val="002C7EA9"/>
    <w:rsid w:val="002F418E"/>
    <w:rsid w:val="0034216C"/>
    <w:rsid w:val="003809C7"/>
    <w:rsid w:val="003B5373"/>
    <w:rsid w:val="003B6263"/>
    <w:rsid w:val="003C2A5B"/>
    <w:rsid w:val="003C64A7"/>
    <w:rsid w:val="003D2536"/>
    <w:rsid w:val="003D3FDA"/>
    <w:rsid w:val="00420822"/>
    <w:rsid w:val="0045458F"/>
    <w:rsid w:val="004633B4"/>
    <w:rsid w:val="00466C84"/>
    <w:rsid w:val="00480B03"/>
    <w:rsid w:val="004A56D2"/>
    <w:rsid w:val="004B3553"/>
    <w:rsid w:val="004D2E86"/>
    <w:rsid w:val="00526E07"/>
    <w:rsid w:val="00530E8C"/>
    <w:rsid w:val="00545933"/>
    <w:rsid w:val="0058562C"/>
    <w:rsid w:val="00587875"/>
    <w:rsid w:val="005C184C"/>
    <w:rsid w:val="00607E2B"/>
    <w:rsid w:val="00623CE1"/>
    <w:rsid w:val="0063062B"/>
    <w:rsid w:val="00637BE5"/>
    <w:rsid w:val="00667229"/>
    <w:rsid w:val="00676C1D"/>
    <w:rsid w:val="00682BE5"/>
    <w:rsid w:val="00690FED"/>
    <w:rsid w:val="006939A5"/>
    <w:rsid w:val="006A68B1"/>
    <w:rsid w:val="006A7376"/>
    <w:rsid w:val="00712451"/>
    <w:rsid w:val="00723F31"/>
    <w:rsid w:val="00726191"/>
    <w:rsid w:val="00732F08"/>
    <w:rsid w:val="0074190C"/>
    <w:rsid w:val="00762576"/>
    <w:rsid w:val="00791060"/>
    <w:rsid w:val="007A7662"/>
    <w:rsid w:val="007B5626"/>
    <w:rsid w:val="0080570B"/>
    <w:rsid w:val="008148E1"/>
    <w:rsid w:val="00836A50"/>
    <w:rsid w:val="00847A46"/>
    <w:rsid w:val="008D0E09"/>
    <w:rsid w:val="008E4412"/>
    <w:rsid w:val="008F5885"/>
    <w:rsid w:val="0097693B"/>
    <w:rsid w:val="00993355"/>
    <w:rsid w:val="009A4A6D"/>
    <w:rsid w:val="009B4A47"/>
    <w:rsid w:val="009C09CD"/>
    <w:rsid w:val="009C2F6A"/>
    <w:rsid w:val="009E0413"/>
    <w:rsid w:val="00A13265"/>
    <w:rsid w:val="00A71136"/>
    <w:rsid w:val="00A80565"/>
    <w:rsid w:val="00AA474C"/>
    <w:rsid w:val="00AC2F64"/>
    <w:rsid w:val="00AD7E5F"/>
    <w:rsid w:val="00B01AA1"/>
    <w:rsid w:val="00B30C81"/>
    <w:rsid w:val="00BD7620"/>
    <w:rsid w:val="00BF71AC"/>
    <w:rsid w:val="00C15633"/>
    <w:rsid w:val="00C15799"/>
    <w:rsid w:val="00C27A4A"/>
    <w:rsid w:val="00C357AD"/>
    <w:rsid w:val="00C6069C"/>
    <w:rsid w:val="00CD5431"/>
    <w:rsid w:val="00CF2491"/>
    <w:rsid w:val="00D57772"/>
    <w:rsid w:val="00D75A4D"/>
    <w:rsid w:val="00D8478B"/>
    <w:rsid w:val="00D86151"/>
    <w:rsid w:val="00DA7595"/>
    <w:rsid w:val="00DB0A68"/>
    <w:rsid w:val="00DC43A3"/>
    <w:rsid w:val="00DC6954"/>
    <w:rsid w:val="00DE3816"/>
    <w:rsid w:val="00E0124F"/>
    <w:rsid w:val="00E4680F"/>
    <w:rsid w:val="00E674D3"/>
    <w:rsid w:val="00E70FD0"/>
    <w:rsid w:val="00E74909"/>
    <w:rsid w:val="00EB1638"/>
    <w:rsid w:val="00EF7F4A"/>
    <w:rsid w:val="00F34944"/>
    <w:rsid w:val="00F84067"/>
    <w:rsid w:val="00FF6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FD579DB-8CE6-4BD8-9455-1EF8D14B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595"/>
    <w:rPr>
      <w:rFonts w:eastAsia="BatangChe"/>
      <w:sz w:val="24"/>
      <w:szCs w:val="24"/>
      <w:lang w:eastAsia="en-US"/>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ＭＳ 明朝"/>
      <w:szCs w:val="22"/>
      <w:lang w:val="en-GB"/>
    </w:rPr>
  </w:style>
  <w:style w:type="paragraph" w:styleId="a8">
    <w:name w:val="Balloon Text"/>
    <w:basedOn w:val="a"/>
    <w:link w:val="a9"/>
    <w:rsid w:val="009E0413"/>
    <w:rPr>
      <w:rFonts w:ascii="Arial" w:eastAsia="ＭＳ ゴシック" w:hAnsi="Arial"/>
      <w:sz w:val="18"/>
      <w:szCs w:val="18"/>
      <w:lang w:val="x-none"/>
    </w:rPr>
  </w:style>
  <w:style w:type="character" w:customStyle="1" w:styleId="a9">
    <w:name w:val="吹き出し (文字)"/>
    <w:link w:val="a8"/>
    <w:rsid w:val="009E0413"/>
    <w:rPr>
      <w:rFonts w:ascii="Arial" w:eastAsia="ＭＳ ゴシック" w:hAnsi="Arial" w:cs="Times New Roman"/>
      <w:sz w:val="18"/>
      <w:szCs w:val="18"/>
      <w:lang w:eastAsia="en-US"/>
    </w:rPr>
  </w:style>
  <w:style w:type="table" w:styleId="aa">
    <w:name w:val="Table Grid"/>
    <w:basedOn w:val="a1"/>
    <w:rsid w:val="000566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0">
    <w:name w:val="index 1"/>
    <w:basedOn w:val="a"/>
    <w:next w:val="a"/>
    <w:rsid w:val="004A56D2"/>
    <w:pPr>
      <w:tabs>
        <w:tab w:val="left" w:pos="794"/>
        <w:tab w:val="left" w:pos="1191"/>
        <w:tab w:val="left" w:pos="1588"/>
        <w:tab w:val="left" w:pos="1985"/>
      </w:tabs>
      <w:overflowPunct w:val="0"/>
      <w:autoSpaceDE w:val="0"/>
      <w:autoSpaceDN w:val="0"/>
      <w:adjustRightInd w:val="0"/>
      <w:spacing w:before="120"/>
      <w:textAlignment w:val="baseline"/>
    </w:pPr>
    <w:rPr>
      <w:rFonts w:eastAsia="ＭＳ 明朝"/>
      <w:szCs w:val="20"/>
      <w:lang w:val="en-GB" w:eastAsia="ja-JP"/>
    </w:rPr>
  </w:style>
  <w:style w:type="paragraph" w:customStyle="1" w:styleId="Head">
    <w:name w:val="Head"/>
    <w:basedOn w:val="a"/>
    <w:rsid w:val="004A56D2"/>
    <w:pPr>
      <w:tabs>
        <w:tab w:val="left" w:pos="6663"/>
      </w:tabs>
      <w:overflowPunct w:val="0"/>
      <w:autoSpaceDE w:val="0"/>
      <w:autoSpaceDN w:val="0"/>
      <w:adjustRightInd w:val="0"/>
      <w:textAlignment w:val="baseline"/>
    </w:pPr>
    <w:rPr>
      <w:rFonts w:eastAsia="ＭＳ 明朝"/>
      <w:szCs w:val="20"/>
      <w:lang w:val="en-GB" w:eastAsia="ja-JP"/>
    </w:rPr>
  </w:style>
  <w:style w:type="paragraph" w:customStyle="1" w:styleId="Subject">
    <w:name w:val="Subject"/>
    <w:basedOn w:val="a"/>
    <w:next w:val="a"/>
    <w:rsid w:val="004A56D2"/>
    <w:pPr>
      <w:tabs>
        <w:tab w:val="left" w:pos="1134"/>
      </w:tabs>
      <w:overflowPunct w:val="0"/>
      <w:autoSpaceDE w:val="0"/>
      <w:autoSpaceDN w:val="0"/>
      <w:adjustRightInd w:val="0"/>
      <w:ind w:left="1134" w:hanging="1134"/>
      <w:textAlignment w:val="baseline"/>
    </w:pPr>
    <w:rPr>
      <w:rFonts w:eastAsia="ＭＳ 明朝"/>
      <w:szCs w:val="20"/>
      <w:lang w:val="en-GB" w:eastAsia="ja-JP"/>
    </w:rPr>
  </w:style>
  <w:style w:type="paragraph" w:customStyle="1" w:styleId="Data">
    <w:name w:val="Data"/>
    <w:basedOn w:val="Subject"/>
    <w:next w:val="Subject"/>
    <w:rsid w:val="004A56D2"/>
  </w:style>
  <w:style w:type="paragraph" w:customStyle="1" w:styleId="Table">
    <w:name w:val="Table_#"/>
    <w:basedOn w:val="a"/>
    <w:next w:val="a"/>
    <w:rsid w:val="00726191"/>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ＭＳ 明朝"/>
      <w:caps/>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wnloads\DocumentTemplate(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DocumentTemplate(4).dotx</Template>
  <TotalTime>0</TotalTime>
  <Pages>3</Pages>
  <Words>735</Words>
  <Characters>4191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Yamamoto</cp:lastModifiedBy>
  <cp:revision>2</cp:revision>
  <cp:lastPrinted>2009-02-17T09:56:00Z</cp:lastPrinted>
  <dcterms:created xsi:type="dcterms:W3CDTF">2015-09-30T06:39:00Z</dcterms:created>
  <dcterms:modified xsi:type="dcterms:W3CDTF">2015-09-30T06:39:00Z</dcterms:modified>
</cp:coreProperties>
</file>